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23</w:t>
      </w:r>
    </w:p>
    <w:p>
      <w:r>
        <w:t>Bundesgericht (BGE), 1965-01-20, DE</w:t>
      </w:r>
    </w:p>
    <w:p>
      <w:r>
        <w:rPr>
          <w:b/>
        </w:rPr>
        <w:t xml:space="preserve">Quelle: </w:t>
      </w:r>
      <w:r>
        <w:t>https://mcp.opencaselaw.ch/entscheid/bge_91 I 23</w:t>
      </w:r>
    </w:p>
    <w:p>
      <w:r>
        <w:t>FR: ATF 91 I 23</w:t>
      </w:r>
    </w:p>
    <w:p>
      <w:r>
        <w:t>IT: DTF 91 I 23</w:t>
      </w:r>
    </w:p>
    <w:p>
      <w:pPr>
        <w:pStyle w:val="Heading2"/>
      </w:pPr>
      <w:r>
        <w:t>Regeste</w:t>
      </w:r>
    </w:p>
    <w:p>
      <w:r>
        <w:t>Regeste Bäuerliches Vorkaufsrecht. Art. 6 ff. EGG. Die Kantone sind nicht befugt, den Entscheid darüber, ob ein bestimmtes Heimwesen ein landwirtschaftliches Gewerbe im Sinne von Art. 6 Abs. 1 EGG und damit Gegenstand des Vorkaufsrechts sei, einer Verwaltungsbehörde zuzuweisen; hierüber hat im Streitfall der ordentliche Richter vorfrageweise zu entscheiden.</w:t>
      </w:r>
    </w:p>
    <w:p>
      <w:pPr>
        <w:pStyle w:val="Heading2"/>
      </w:pPr>
      <w:r>
        <w:t>Erwägungen</w:t>
      </w:r>
    </w:p>
    <w:p>
      <w:r>
        <w:rPr>
          <w:b/>
        </w:rPr>
        <w:t>E. 1</w:t>
      </w:r>
    </w:p>
    <w:p>
      <w:r>
        <w:t>Da der Regierungsrat die Verfügung der Landwirtschaftsdirektion vom 13. November 1963 frei überprüfen konnte, stellt sein Entscheid einen neuen Sachentscheid dar, der an die Stelle jener Verfügung getreten ist. Auf das Begehren des Beschwerdeführers, auch die Verfügung der Landwirtschaftsdirektion aufzuheben, ist daher nicht einzutreten ( BGE 90 I 107 Erw. 1). Staatsrechtliche Beschwerden haben sodann, von hier nicht in Betracht fallenden Ausnahmen abgesehen, rein kassatorischen Charakter ( BGE 90 I 21 Erw. 1 mit Verweisungen), weshalb auch das Begehren um Feststellung, dass die Emil Zimmermann gehörenden Parzellen ein landwirtschaftliches Gewerbe im Sinne von Art. 6 EGG bilden, unzulässig ist. Dagegen ist auf den Antrag auf Aufhebung des Entscheids des Regierungsrates vom 20. August 1964 einzutreten. Der kantonale Instanzenzug ist erschöpft (§ 15 der aarg. VV zum EGG). Der angefochtene Entscheid ist ein Verwaltungsakt, der die Frage der Anwendbarkeit von Vorschriften des EGG auf ein bestimmtes Heimwesen betrifft. Da er nicht in einer Zivilstreitigkeit oder Zivilsache ergangen ist, können die vom Beschwerdeführer behaupteten Rechtsverletzungen weder mit der Berufung ( Art. 43 OG ) noch mit der Nichtigkeitsbeschwerde nach Art. 68 OG beim Bundesgericht gerügt werden ( Art. 84 Abs. 2 OG ). Dass der Beschwerdeführer durch den angefochtenen Entscheid in seiner Rechtslage betroffen wird und daher gemäss Art. 88 OG legitimiert ist, dagegen staatsrechtliche Beschwerde zu führen, kann nicht zweifelhaft sein.</w:t>
      </w:r>
    </w:p>
    <w:p>
      <w:r>
        <w:rPr>
          <w:b/>
        </w:rPr>
        <w:t>E. 2</w:t>
      </w:r>
    </w:p>
    <w:p>
      <w:r>
        <w:t>Die Beschwerde ist als solche wegen Verletzung des Art. 4 BV bezeichnet und wirft dem Regierungsrat in mehrfacher Beziehung Willkür vor. Zur Begründung dieser Rüge wird unter anderm geltend gemacht, der angefochtene Entscheid sei deshalb bundesrechtswidrig, weil das EGG nicht vorsehe, dass eine kantonale Verwaltungsbehörde ein bestimmtes landwirtschaftliches Heimwesen mit verbindlicher Wirkung den im EGG enthaltenen Bestimmungen über das Vorkaufsrecht unterstelle, sondern den Entscheid hierüber dem Richter überlasse, der BGE 91 I 23 S. 28 über den Bestand des Vorkaufsrechtes zu befinden habe. Damit macht der Beschwerdeführer, da der Regierungsrat die Zuständigkeit der Verwaltungsbehörden aus den §§ 1 und 15 der aarg. VV zum EGG ableitet, dem Sinne nach auch eine Verletzung des in Art. 2 Üb.-Best. der BV ausgesprochenen Grundsatzes der derogatorischen Kraft des Bundesrechts geltend, denn diese Rüge gilt als in der Rüge der Willkür enthalten, wenn als willkürlich die Anwendung kantonalen Rechts in Missachtung von Bundesrecht gerügt wird ( BGE 84 I 10 Erw. 2 mit Verweisungen). Ob ein kantonaler Rechtssatz oder die ihm gegebene Auslegung mit dem Bundesrecht vereinbar ist, prüft das Bundesgericht nicht unter dem beschränkten Gesichtswinkel der Willkür, sondern frei ( BGE 88 I 75 Erw. 2 mit Verweisungen). Dass der Beschwerdeführer im kantonalen Rekursverfahren nicht geltend gemacht hat, dass die von der Landwirtschaftsdirektion beanspruchte Zuständigkeit zum Entscheid über die Anwendbarkeit der Vorschriften über das Vorkaufsrecht mit dem Bundesrecht nicht vereinbar sei, sondern selber die Feststellung der Anwendbarkeit dieser Vorschriften verlangt hat, ist unerheblich, da neue rechtliche Rügen vor Bundesgericht nicht ausgeschlossen sind, wenn die letzte kantonale Instanz, wie hier, freie Kognition besitzt und das Recht von Amtes wegen anzuwenden hat ( BGE 73 I 51 Erw. 2 mit Verweisungen, BGE 90 I 148 /49).</w:t>
      </w:r>
    </w:p>
    <w:p>
      <w:r>
        <w:rPr>
          <w:b/>
        </w:rPr>
        <w:t>E. 3</w:t>
      </w:r>
    </w:p>
    <w:p>
      <w:r>
        <w:t>Nach § 1 der aarg. VV zum EGG entscheidet die Landwirtschaftsdirektion im Zweifelsfall über die Anwendbarkeit des EGG auf ein Gewerbe oder eine Liegenschaft. Der Regierungsrat leitet hieraus die Befugnis der Landwirtschaftsdirektion zum Entscheid darüber ab, ob ein bestimmtes Heimwesen ein landwirtschaftliches Gewerbe im Sinne des Art. 6 EGG und damit Gegenstand des Vorkaufsrechtes bilde. Hiefür ist aber im EGG keine Grundlage zu finden. Das bäuerliche Vorkaufsrecht nach Art. 6 ff. EGG ist, wie der Regierungsrat mit Recht anerkennt, ein zivilrechtlicher Anspruch. Über dessen Bestand hat von Bundesrechts wegen der ordentliche Richter zu entscheiden (vgl. BGE 79 I 269 und 275). Dass eine Verwaltungsbehörde über das Vorhandensein eines landwirtschaftlichen Gewerbes als eine der Voraussetzungen des Vorkaufsrechts zu entscheiden hätte oder die Kantone diesen Entscheid einer Verwaltungsbehörde übertragen dürften, lässt sich dem EGG nicht entnehmen. Das EGG enthält, im Gegensatz zum LEG (Art. 2 und 3), keine Bestimmung, wonach die BGE 91 I 23 S. 29 Anwendung des Gesetzes auf ein bestimmtes Heimwesen die Unterstellung durch einen Entscheid der zuständigen Behörde voraussetzt und diese Behörde von den Kantonen zu bezeichnen ist. Nach Art. 46 EGG treffen die Kantone die zur Ergänzung des Gesetzes vorgesehenen Anordnungen. Art. 44 EGG , der die von den Kantonen zu bezeichnenden Behörden aufzählt, erwähnt aber keine solche, die über die Unterstellung von Heimwesen und Liegenschaften unter das EGG im allgemeinen oder unter die Vorschriften über das Vorkaufsrecht zu befinden hätte. Der Vorbehalt kantonalen Rechts in Art. 3 EGG bezieht sich auf generelle Ausnahmen, und auch die den Kantonen im Abschnitt über das Vorkaufsrecht erteilten Ermächtigungen, dieses Recht auszudehnen oder einzuschränken, beziehen sich auf generelle Anordnungen. Aus keiner dieser Vorbehalte kantonalen Rechts lässt sich ableiten, dass Verwaltungsbehörden befugt wären oder ermächtigt werden könnten, über die Anwendbarkeit der Vorschriften über das Vorkaufsrecht auf ein bestimmtes Heimwesen zu entscheiden. Dass das EGG kein besonderes Unterstellungsverfahren vorsieht, beruht nicht etwa auf einem Versehen des Gesetzgebers. Das geht aus der Entstehungsgeschichte klar hervor. Die Vorentwürfe zum EGG sahen nach dem Vorbild des LEG einen rechtskräftigen Unterstellungsentscheid als Voraussetzung für die Anwendung des Gesetzes vor. Der Entwurf des Bundesrates (BBl 1948 I 72 ff.) verzichtete auf ein obligatorisches Unterstellungsverfahren und bestimmte in Art. 3 Abs. 3 lediglich, dass jedermann, der ein Interesse glaubhaft mache, befugt sei, die Anwendbarkeit des Gesetzes im Einzelfall durch die zuständige Behörde feststellen zu lassen; ferner sah der Entwurf in den Art. 41 und 42 vor, dass dieser Entscheid an eine kantonale Beschwerdeinstanz weiterziehbar und gegen deren Entscheid die Verwaltungsgerichtsbeschwerde an das Bundesgericht zulässig sei (vgl. dazu die Ausführungen in der Botschaft S. 49 und 66/67). Art. 3 Abs. 3 wurde zunächst von beiden Räten ohne Diskussion angenommen (StenBull NatR 1948 S. 376, StR 1949 S. 329). Als die Kommission des Ständerates dann die von diesem zurückgewiesenen Artikel behandelte, beantragte der Vorsteher des eidg. Justiz- und Polizeidepartements, auf Abs. 3 von Art. 3 zurückzukommen und ihn als überflüssig zu streichen, denn bei Geltendmachung des Vorkaufsrechts habe der Richter ohnehin die Voraussetzungen BGE 91 I 23 S. 30 desselben zu beurteilen, und im übrigen seien die Verwaltungsbehörden zuständig, und auch diese müssten zunächst feststellen, ob die Voraussetzungen ihres Eingreifens erfüllt seien. Die ständerätliche Kommission stimmte zu und beantragte dem Ständerat im Sinne einer Vereinfachung des Verfahrens Streichung von Abs. 3 des Art. 3 sowie der entsprechenden Stellen in Art. 41 (zuständige Behörde für den Vorentscheid) und 42 (Verwaltungsgerichtsbeschwerde gegen diesen Entscheid). Der Ständerat beschloss dies, und der Nationalrat folgte ihm (Sten-Bull StR 1949 S. 431/2, NatR 1949 S. 874). Der Gesetzgeber wollte somit die auf Grund des EGG durchzuführenden Verfahren dahin vereinfachen, dass über die Anwendbarkeit des Gesetzes auf den Einzelfall kein besonderer Entscheid zu fällen sei, sondern hierüber bei Streit über das Vorkaufsrecht der Richter und im Einspruchsverfahren die zuständige Behörde vorfrageweise zu entscheiden habe. Nach dem EGG ist daher kein Raum für den Entscheid einer kantonalen Verwaltungsbehörde über die Frage, ob ein bestimmtes Heimwesen ein landwirtschaftliches Gewerbe im Sinne des Art. 6 EGG und damit Gegenstand des Vorkaufsrechtes sei. Hierüber ist im Streitfall vom Richter vorfrageweise zu entscheiden (wie es z.B. in BGE 86 II 430 Erw. 1 geschah; vgl. auch BGE 87 I 478 Erw. 4). Die Annahme des Regierungsrates, dass § 1 VV die Zuständigkeit bezüglich dieses "Aspektes des Vorkaufsrechts" zugunsten der Verwaltungsbehörden entschieden habe, beruht auf einer mit dem Bundesrecht unvereinbaren Auslegung dieser kantonalen Ausführungsbestimmung. § 1 VV kann nur Platz greifen, soweit der Kanton nach dem EGG befugt ist, die zuständige Behörde zu bezeichnen, d.h. im Rahmen des Art. 4 EGG . Ist der angefochtene Entscheid somit wegen Verletzung des Art. 2 Üb.-Best. der BV aufzuheben, so braucht nicht geprüft zu werden, ob er, wie die Beschwerde weiter geltend macht, auch gegen den Grundsatz der Gewaltentrennung und gegen Art. 4 BV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